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教学设计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酸碱盐之间的除杂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科目：化学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《酸碱盐之间的除杂》教学设计</w:t>
      </w:r>
    </w:p>
    <w:p>
      <w:pPr>
        <w:spacing w:line="360" w:lineRule="auto"/>
        <w:jc w:val="left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一、教学地位与作用</w:t>
      </w:r>
    </w:p>
    <w:p>
      <w:pPr>
        <w:spacing w:line="360" w:lineRule="auto"/>
        <w:ind w:firstLine="482" w:firstLineChars="200"/>
        <w:jc w:val="left"/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1、说教材</w:t>
      </w:r>
    </w:p>
    <w:p>
      <w:pPr>
        <w:spacing w:line="360" w:lineRule="auto"/>
        <w:jc w:val="left"/>
        <w:rPr>
          <w:rFonts w:hint="default" w:ascii="Times New Roman" w:hAnsi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《物质的检验、鉴别、分离和除杂》属于初中化学专题复习的内容，设有专门的版块，贯穿整个初中教材，在生产、生活和科学实验中有重要的地位。除杂作为其中一个重要的知识点，在我省中考考试中为必考内容。除杂经常与酸、碱、盐结合以物质推断题为载体进行综合考察，每年出现在陕西中考的填空与简答题中，分值为5分。</w:t>
      </w:r>
    </w:p>
    <w:p>
      <w:pPr>
        <w:numPr>
          <w:numId w:val="0"/>
        </w:numPr>
        <w:spacing w:line="360" w:lineRule="auto"/>
        <w:ind w:firstLine="241" w:firstLineChars="100"/>
        <w:jc w:val="left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2、说学情</w:t>
      </w:r>
    </w:p>
    <w:p>
      <w:pPr>
        <w:numPr>
          <w:numId w:val="0"/>
        </w:numPr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在此之前，学生已经学习了酸碱盐的知识，并且对酸碱盐之间的相关反应已经熟练掌握。在平时的练考和试题训练中已经接触过相关内容和题型，对物质之间的除杂已经有了初步的了解，但没有系统的、专题性的讲解，因而对于难度高一点，更深层次的知识可能摸不到头脑。</w:t>
      </w:r>
    </w:p>
    <w:p>
      <w:pPr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二</w:t>
      </w:r>
      <w:r>
        <w:rPr>
          <w:rFonts w:ascii="Times New Roman" w:hAnsi="Times New Roman"/>
          <w:b/>
          <w:bCs/>
          <w:sz w:val="24"/>
          <w:szCs w:val="24"/>
        </w:rPr>
        <w:t>、教学目标</w:t>
      </w:r>
    </w:p>
    <w:p>
      <w:pPr>
        <w:spacing w:line="360" w:lineRule="auto"/>
        <w:ind w:firstLine="241" w:firstLineChars="10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1、</w:t>
      </w:r>
      <w:r>
        <w:rPr>
          <w:rFonts w:ascii="Times New Roman" w:hAnsi="Times New Roman"/>
          <w:b/>
          <w:bCs/>
          <w:sz w:val="24"/>
          <w:szCs w:val="24"/>
        </w:rPr>
        <w:t>知识与技能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1、认识物质的除杂的基本要求。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2、了解常见的物质除杂方法及步骤。</w:t>
      </w:r>
    </w:p>
    <w:p>
      <w:pPr>
        <w:pStyle w:val="2"/>
        <w:spacing w:after="0"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2、</w:t>
      </w:r>
      <w:r>
        <w:rPr>
          <w:rFonts w:ascii="Times New Roman" w:hAnsi="Times New Roman"/>
          <w:b/>
          <w:bCs/>
          <w:sz w:val="24"/>
          <w:szCs w:val="24"/>
        </w:rPr>
        <w:t>过程与方法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sz w:val="24"/>
          <w:szCs w:val="24"/>
        </w:rPr>
        <w:t>1、初步学会分类讨论的思想和方法。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2</w:t>
      </w:r>
      <w:r>
        <w:rPr>
          <w:rFonts w:ascii="Times New Roman" w:hAnsi="Times New Roman"/>
          <w:sz w:val="24"/>
          <w:szCs w:val="24"/>
        </w:rPr>
        <w:t>、能设计简单的实验并运用对比、实验的方法解决问题。能主动参与讨论，表达自己的观点，形成良好的学习习惯和方法。</w:t>
      </w:r>
    </w:p>
    <w:p>
      <w:pPr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3、</w:t>
      </w:r>
      <w:r>
        <w:rPr>
          <w:rFonts w:ascii="Times New Roman" w:hAnsi="Times New Roman"/>
          <w:b/>
          <w:bCs/>
          <w:sz w:val="24"/>
          <w:szCs w:val="24"/>
        </w:rPr>
        <w:t>情感、态度与价值观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体验到运用化学知识解决生活问题的意义。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2、激发学生持续学习化学的兴趣，提高他们的操作能力，加强参与意识和协作精神。</w:t>
      </w:r>
    </w:p>
    <w:p>
      <w:pPr>
        <w:spacing w:line="360" w:lineRule="auto"/>
        <w:jc w:val="left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hint="eastAsia" w:ascii="Times New Roman" w:hAnsi="Times New Roman"/>
          <w:b/>
          <w:bCs w:val="0"/>
          <w:sz w:val="24"/>
          <w:szCs w:val="24"/>
          <w:lang w:eastAsia="zh-CN"/>
        </w:rPr>
        <w:t>三</w:t>
      </w:r>
      <w:r>
        <w:rPr>
          <w:rFonts w:ascii="Times New Roman" w:hAnsi="Times New Roman"/>
          <w:b/>
          <w:bCs w:val="0"/>
          <w:sz w:val="24"/>
          <w:szCs w:val="24"/>
        </w:rPr>
        <w:t>、教学重点与难点</w:t>
      </w:r>
    </w:p>
    <w:p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重点</w:t>
      </w:r>
      <w:r>
        <w:rPr>
          <w:rFonts w:ascii="Times New Roman" w:hAnsi="Times New Roman"/>
          <w:bCs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除杂质的一般方法。</w:t>
      </w:r>
    </w:p>
    <w:p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难点</w:t>
      </w:r>
      <w:r>
        <w:rPr>
          <w:rFonts w:ascii="Times New Roman" w:hAnsi="Times New Roman"/>
          <w:bCs/>
          <w:sz w:val="24"/>
          <w:szCs w:val="24"/>
        </w:rPr>
        <w:t>：进一</w:t>
      </w:r>
      <w:r>
        <w:rPr>
          <w:rFonts w:ascii="Times New Roman" w:hAnsi="Times New Roman"/>
          <w:bCs/>
          <w:sz w:val="24"/>
          <w:szCs w:val="24"/>
        </w:rPr>
        <w:drawing>
          <wp:inline distT="0" distB="0" distL="114300" distR="114300">
            <wp:extent cx="17780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4"/>
          <w:szCs w:val="24"/>
        </w:rPr>
        <w:t>步</w:t>
      </w:r>
      <w:r>
        <w:rPr>
          <w:rFonts w:ascii="Times New Roman" w:hAnsi="Times New Roman"/>
          <w:sz w:val="24"/>
          <w:szCs w:val="24"/>
        </w:rPr>
        <w:t>熟悉常见的酸碱盐的化学性质，设计简单的实验并运用对比、实验的方法解决问题。</w:t>
      </w:r>
    </w:p>
    <w:p>
      <w:pPr>
        <w:spacing w:line="360" w:lineRule="auto"/>
        <w:jc w:val="lef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  <w:lang w:eastAsia="zh-CN"/>
        </w:rPr>
        <w:t>四</w:t>
      </w:r>
      <w:r>
        <w:rPr>
          <w:rFonts w:ascii="Times New Roman" w:hAnsi="Times New Roman"/>
          <w:b/>
          <w:bCs/>
          <w:szCs w:val="21"/>
        </w:rPr>
        <w:t>、教学过程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6"/>
        <w:gridCol w:w="125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教师活动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学生活动</w:t>
            </w:r>
          </w:p>
        </w:tc>
        <w:tc>
          <w:tcPr>
            <w:tcW w:w="265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【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复习回顾</w:t>
            </w:r>
            <w:r>
              <w:rPr>
                <w:rFonts w:ascii="Times New Roman" w:hAnsi="Times New Roman"/>
                <w:bCs/>
                <w:szCs w:val="21"/>
              </w:rPr>
              <w:t>】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听写初中常见的十二个离子对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【请你支招】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Cs w:val="21"/>
              </w:rPr>
              <w:t>化学兴趣小组的同学欲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除去粗盐中的硫酸钠、氯化钙和氯化镁而得到精盐，他们该怎么做才能出去里面可溶性杂质？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【讲述】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除杂是通过适当的方法，把混入某物质里的少量杂质除去，以便获得相对纯净的物质。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一、除杂原则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1.不增：不能引入新杂质。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2.不减：不能使被提纯的物质减少。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3.易分离：操作简单,易于分离。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二、除杂思路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使杂质转化为与被提纯物质状态不同的物质,然后采用过滤、蒸发等操作得到被提纯物质,或者使杂质转化为被提纯物质。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三、如何选择除杂试剂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化学方法除杂问题：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常见的酸</w:t>
            </w:r>
            <w:r>
              <w:rPr>
                <w:rFonts w:ascii="Times New Roman" w:hAnsi="Times New Roman"/>
                <w:bCs/>
                <w:szCs w:val="21"/>
              </w:rPr>
              <w:drawing>
                <wp:inline distT="0" distB="0" distL="114300" distR="114300">
                  <wp:extent cx="17780" cy="15240"/>
                  <wp:effectExtent l="0" t="0" r="0" b="0"/>
                  <wp:docPr id="12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Cs w:val="21"/>
              </w:rPr>
              <w:t>、碱、盐溶液中的除杂：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〖例〗除去下列物质中混有的杂质(括号内为杂质)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bCs/>
                <w:szCs w:val="21"/>
                <w:lang w:val="pl-PL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 xml:space="preserve"> NaCl </w:t>
            </w:r>
            <w:r>
              <w:rPr>
                <w:rFonts w:ascii="Times New Roman" w:hAnsi="Times New Roman"/>
                <w:bCs/>
                <w:szCs w:val="21"/>
              </w:rPr>
              <w:t>溶液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 xml:space="preserve"> （ Na</w:t>
            </w:r>
            <w:r>
              <w:rPr>
                <w:rFonts w:ascii="Times New Roman" w:hAnsi="Times New Roman"/>
                <w:bCs/>
                <w:szCs w:val="21"/>
                <w:vertAlign w:val="subscript"/>
                <w:lang w:val="pl-PL"/>
              </w:rPr>
              <w:t>2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>SO</w:t>
            </w:r>
            <w:r>
              <w:rPr>
                <w:rFonts w:ascii="Times New Roman" w:hAnsi="Times New Roman"/>
                <w:bCs/>
                <w:szCs w:val="21"/>
                <w:vertAlign w:val="subscript"/>
                <w:lang w:val="pl-PL"/>
              </w:rPr>
              <w:t>4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>）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bCs/>
                <w:szCs w:val="21"/>
                <w:lang w:val="pl-PL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 xml:space="preserve"> Na</w:t>
            </w:r>
            <w:r>
              <w:rPr>
                <w:rFonts w:ascii="Times New Roman" w:hAnsi="Times New Roman"/>
                <w:bCs/>
                <w:szCs w:val="21"/>
                <w:vertAlign w:val="subscript"/>
                <w:lang w:val="pl-PL"/>
              </w:rPr>
              <w:t>2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>SO</w:t>
            </w:r>
            <w:r>
              <w:rPr>
                <w:rFonts w:ascii="Times New Roman" w:hAnsi="Times New Roman"/>
                <w:bCs/>
                <w:szCs w:val="21"/>
                <w:vertAlign w:val="subscript"/>
                <w:lang w:val="pl-PL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溶液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 xml:space="preserve"> （ Na</w:t>
            </w:r>
            <w:r>
              <w:rPr>
                <w:rFonts w:ascii="Times New Roman" w:hAnsi="Times New Roman"/>
                <w:bCs/>
                <w:szCs w:val="21"/>
                <w:vertAlign w:val="subscript"/>
                <w:lang w:val="pl-PL"/>
              </w:rPr>
              <w:t>2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>CO</w:t>
            </w:r>
            <w:r>
              <w:rPr>
                <w:rFonts w:ascii="Times New Roman" w:hAnsi="Times New Roman"/>
                <w:bCs/>
                <w:szCs w:val="21"/>
                <w:vertAlign w:val="subscript"/>
                <w:lang w:val="pl-PL"/>
              </w:rPr>
              <w:t>3</w:t>
            </w:r>
            <w:r>
              <w:rPr>
                <w:rFonts w:ascii="Times New Roman" w:hAnsi="Times New Roman"/>
                <w:bCs/>
                <w:szCs w:val="21"/>
                <w:lang w:val="pl-PL"/>
              </w:rPr>
              <w:t xml:space="preserve"> ）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观察分析：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  上述除杂，都是通过化学反应将杂质转化成什么状态的物质除去的？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——转化成气体、水、沉淀除去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【课堂练习】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小</w:t>
            </w:r>
            <w:r>
              <w:rPr>
                <w:rFonts w:ascii="Times New Roman" w:hAnsi="Times New Roman"/>
                <w:bCs/>
                <w:szCs w:val="21"/>
              </w:rPr>
              <w:t>组合作试试看：</w:t>
            </w:r>
          </w:p>
          <w:tbl>
            <w:tblPr>
              <w:tblStyle w:val="5"/>
              <w:tblW w:w="5590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6"/>
              <w:gridCol w:w="1211"/>
              <w:gridCol w:w="1363"/>
              <w:gridCol w:w="21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物质</w:t>
                  </w:r>
                </w:p>
              </w:tc>
              <w:tc>
                <w:tcPr>
                  <w:tcW w:w="1211" w:type="dxa"/>
                  <w:tcBorders>
                    <w:top w:val="single" w:color="000000" w:sz="12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杂质</w:t>
                  </w:r>
                </w:p>
              </w:tc>
              <w:tc>
                <w:tcPr>
                  <w:tcW w:w="1363" w:type="dxa"/>
                  <w:tcBorders>
                    <w:top w:val="single" w:color="000000" w:sz="12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除杂试剂或方法</w:t>
                  </w:r>
                </w:p>
              </w:tc>
              <w:tc>
                <w:tcPr>
                  <w:tcW w:w="2120" w:type="dxa"/>
                  <w:tcBorders>
                    <w:top w:val="single" w:color="000000" w:sz="12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反应方程式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NaNO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3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NaCl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NaCl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MgSO</w:t>
                  </w:r>
                  <w:r>
                    <w:rPr>
                      <w:rFonts w:ascii="Times New Roman" w:hAnsi="Times New Roman"/>
                      <w:bCs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NaCl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Na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baseline"/>
                      <w:lang w:val="en-US" w:eastAsia="zh-CN"/>
                    </w:rPr>
                    <w:t>OH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NaOH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C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a(OH)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CaCl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HCl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Cu(NO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)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AgNO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3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  <w:tblCellSpacing w:w="0" w:type="dxa"/>
              </w:trPr>
              <w:tc>
                <w:tcPr>
                  <w:tcW w:w="896" w:type="dxa"/>
                  <w:tcBorders>
                    <w:top w:val="single" w:color="000000" w:sz="6" w:space="0"/>
                    <w:left w:val="single" w:color="000000" w:sz="12" w:space="0"/>
                    <w:bottom w:val="single" w:color="000000" w:sz="12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KCl</w:t>
                  </w:r>
                </w:p>
              </w:tc>
              <w:tc>
                <w:tcPr>
                  <w:tcW w:w="121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12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bCs/>
                      <w:szCs w:val="21"/>
                      <w:lang w:val="en-US" w:eastAsia="zh-CN"/>
                    </w:rPr>
                    <w:t>CuSO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vertAlign w:val="subscript"/>
                      <w:lang w:val="en-US" w:eastAsia="zh-CN"/>
                    </w:rPr>
                    <w:t>4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12" w:space="0"/>
                    <w:right w:val="single" w:color="000000" w:sz="6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21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12" w:space="0"/>
                    <w:right w:val="single" w:color="000000" w:sz="12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 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/>
                <w:bCs/>
                <w:szCs w:val="21"/>
              </w:rPr>
              <w:t>粗盐中含有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Mg</w:t>
            </w:r>
            <w:r>
              <w:rPr>
                <w:rFonts w:hint="eastAsia" w:ascii="Times New Roman" w:hAnsi="Times New Roman"/>
                <w:bCs/>
                <w:szCs w:val="21"/>
                <w:vertAlign w:val="superscript"/>
                <w:lang w:val="en-US" w:eastAsia="zh-CN"/>
              </w:rPr>
              <w:t>2+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Ca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2+</w:t>
            </w:r>
            <w:r>
              <w:rPr>
                <w:rFonts w:ascii="Times New Roman" w:hAnsi="Times New Roman"/>
                <w:bCs/>
                <w:szCs w:val="21"/>
              </w:rPr>
              <w:t>、SO</w:t>
            </w:r>
            <w:r>
              <w:rPr>
                <w:rFonts w:ascii="Times New Roman" w:hAnsi="Times New Roman"/>
                <w:bCs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2-</w:t>
            </w:r>
            <w:r>
              <w:rPr>
                <w:rFonts w:ascii="Times New Roman" w:hAnsi="Times New Roman"/>
                <w:bCs/>
                <w:szCs w:val="21"/>
              </w:rPr>
              <w:t>和泥沙等杂质，实验室中粗盐提纯的操作步骤如下：</w:t>
            </w:r>
            <w:r>
              <w:rPr>
                <w:rFonts w:ascii="Times New Roman" w:hAnsi="Times New Roman"/>
                <w:bCs/>
                <w:szCs w:val="21"/>
              </w:rPr>
              <w:drawing>
                <wp:inline distT="0" distB="0" distL="114300" distR="114300">
                  <wp:extent cx="17780" cy="19050"/>
                  <wp:effectExtent l="0" t="0" r="1270" b="0"/>
                  <wp:docPr id="10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（1）将粗盐研细，加水使其充分溶解，然后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bCs/>
                <w:szCs w:val="21"/>
              </w:rPr>
              <w:t>除去里面的泥沙，粗盐研细的目的是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（2）向上述溶液中加入过量的</w:t>
            </w:r>
            <w:r>
              <w:rPr>
                <w:rFonts w:ascii="Times New Roman" w:hAnsi="Times New Roman"/>
                <w:bCs/>
                <w:szCs w:val="21"/>
              </w:rPr>
              <w:drawing>
                <wp:inline distT="0" distB="0" distL="114300" distR="114300">
                  <wp:extent cx="17780" cy="15240"/>
                  <wp:effectExtent l="0" t="0" r="0" b="0"/>
                  <wp:docPr id="9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Cs w:val="21"/>
              </w:rPr>
              <w:t>BaCl</w:t>
            </w:r>
            <w:r>
              <w:rPr>
                <w:rFonts w:ascii="Times New Roman" w:hAnsi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溶液，直至沉淀不再产生，则加入过量的BaCl</w:t>
            </w:r>
            <w:r>
              <w:rPr>
                <w:rFonts w:ascii="Times New Roman" w:hAnsi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溶液的目的是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  <w:bCs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Cs w:val="21"/>
              </w:rPr>
              <w:t>（3）继续加入过量的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bCs/>
                <w:szCs w:val="21"/>
              </w:rPr>
              <w:t>溶液，加入过量该溶液的目的是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）</w:t>
            </w:r>
            <w:r>
              <w:rPr>
                <w:rFonts w:ascii="Times New Roman" w:hAnsi="Times New Roman"/>
                <w:bCs/>
                <w:szCs w:val="21"/>
              </w:rPr>
              <w:t>继续加入过量的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NaOH</w:t>
            </w:r>
            <w:r>
              <w:rPr>
                <w:rFonts w:ascii="Times New Roman" w:hAnsi="Times New Roman"/>
                <w:bCs/>
                <w:szCs w:val="21"/>
              </w:rPr>
              <w:t>溶液，加入过量该溶液的目的是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）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将所得混合物过滤，的滤液和滤渣。</w:t>
            </w:r>
            <w:r>
              <w:rPr>
                <w:rFonts w:ascii="Times New Roman" w:hAnsi="Times New Roman"/>
                <w:bCs/>
                <w:szCs w:val="21"/>
              </w:rPr>
              <w:t>向所得的滤液</w:t>
            </w:r>
            <w:r>
              <w:rPr>
                <w:rFonts w:ascii="Times New Roman" w:hAnsi="Times New Roman"/>
                <w:bCs/>
                <w:szCs w:val="21"/>
              </w:rPr>
              <w:drawing>
                <wp:inline distT="0" distB="0" distL="114300" distR="114300">
                  <wp:extent cx="17780" cy="17780"/>
                  <wp:effectExtent l="0" t="0" r="0" b="0"/>
                  <wp:docPr id="8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Cs w:val="21"/>
              </w:rPr>
              <w:t>中加入过量的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/>
                <w:bCs/>
                <w:szCs w:val="21"/>
              </w:rPr>
              <w:t>溶液，其目的是</w:t>
            </w:r>
            <w:r>
              <w:rPr>
                <w:rFonts w:ascii="Times New Roman" w:hAnsi="Times New Roman"/>
                <w:bCs/>
                <w:szCs w:val="21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bCs/>
                <w:szCs w:val="21"/>
              </w:rPr>
              <w:t>；最后将上述溶液蒸发结晶，得到精盐。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【总结】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除杂的原则是不增、不减、易分离。酸、碱、盐之间的除杂，其实质为溶液中阴阳离子的除杂。除杂的实质是通过化学反应将杂质离子</w:t>
            </w:r>
            <w:r>
              <w:rPr>
                <w:rFonts w:ascii="Times New Roman" w:hAnsi="Times New Roman"/>
                <w:bCs/>
                <w:szCs w:val="21"/>
              </w:rPr>
              <w:t>转化成气体、水、沉淀除去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【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课后作业</w:t>
            </w:r>
            <w:r>
              <w:rPr>
                <w:rFonts w:ascii="Times New Roman" w:hAnsi="Times New Roman"/>
                <w:szCs w:val="21"/>
              </w:rPr>
              <w:t>】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pl-PL" w:eastAsia="zh-CN"/>
              </w:rPr>
              <w:t>完成一练通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P85-86页相关习题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/>
                <w:szCs w:val="21"/>
                <w:lang w:val="pl-PL" w:eastAsia="zh-CN"/>
              </w:rPr>
            </w:pPr>
            <w:r>
              <w:rPr>
                <w:rFonts w:hint="eastAsia" w:ascii="Times New Roman" w:hAnsi="Times New Roman"/>
                <w:szCs w:val="21"/>
                <w:lang w:val="pl-PL" w:eastAsia="zh-CN"/>
              </w:rPr>
              <w:t>听写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思考、讨论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聆听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记录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观察分析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drawing>
                <wp:inline distT="0" distB="0" distL="114300" distR="114300">
                  <wp:extent cx="17780" cy="19050"/>
                  <wp:effectExtent l="0" t="0" r="1270" b="0"/>
                  <wp:docPr id="7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讨论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练习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讨论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总结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drawing>
                <wp:inline distT="0" distB="0" distL="114300" distR="114300">
                  <wp:extent cx="29210" cy="15240"/>
                  <wp:effectExtent l="0" t="0" r="0" b="0"/>
                  <wp:docPr id="6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练习</w:t>
            </w:r>
          </w:p>
        </w:tc>
        <w:tc>
          <w:tcPr>
            <w:tcW w:w="265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/>
                <w:szCs w:val="21"/>
                <w:lang w:val="pl-PL" w:eastAsia="zh-CN"/>
              </w:rPr>
            </w:pPr>
            <w:r>
              <w:rPr>
                <w:rFonts w:hint="eastAsia" w:ascii="Times New Roman" w:hAnsi="Times New Roman"/>
                <w:szCs w:val="21"/>
                <w:lang w:val="pl-PL" w:eastAsia="zh-CN"/>
              </w:rPr>
              <w:t>熟悉常见化学反应的实质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通过问题引出本节课的主要内容，引起学生的思考，提高学生的学习兴趣，使学生快速的进入到课堂学习中。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通过例题对知识进行迁移应用</w:t>
            </w:r>
            <w:r>
              <w:rPr>
                <w:rFonts w:ascii="Times New Roman" w:hAnsi="Times New Roman"/>
                <w:szCs w:val="21"/>
                <w:lang w:val="pl-PL"/>
              </w:rPr>
              <w:drawing>
                <wp:inline distT="0" distB="0" distL="114300" distR="114300">
                  <wp:extent cx="17780" cy="16510"/>
                  <wp:effectExtent l="0" t="0" r="0" b="0"/>
                  <wp:docPr id="4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1"/>
                <w:lang w:val="pl-PL"/>
              </w:rPr>
              <w:t>，激发学生的思维，提高学生解决问题的能力。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对知识进行巩固。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练习分析和化学除杂的方法。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通过练习和讨论，使学生在学习和结晶问题的过程中找出解题的一般方法，提高分析和归纳的能力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Cs w:val="21"/>
                <w:lang w:val="pl-PL"/>
              </w:rPr>
            </w:pPr>
            <w:r>
              <w:rPr>
                <w:rFonts w:ascii="Times New Roman" w:hAnsi="Times New Roman"/>
                <w:szCs w:val="21"/>
                <w:lang w:val="pl-PL"/>
              </w:rPr>
              <w:t>巩固课堂知识。</w:t>
            </w:r>
          </w:p>
        </w:tc>
      </w:tr>
    </w:tbl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教学效果评价与反思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本节课主要讲授了</w:t>
      </w:r>
      <w:r>
        <w:rPr>
          <w:rFonts w:hint="eastAsia" w:ascii="Times New Roman" w:hAnsi="Times New Roman"/>
          <w:sz w:val="24"/>
          <w:szCs w:val="24"/>
          <w:lang w:eastAsia="zh-CN"/>
        </w:rPr>
        <w:t>除杂的原则是不增、不减、易分离。酸、碱、盐之间的除杂，其实质为溶液中阴阳离子的除杂，即将杂质离子通过化学反应将杂质离子</w:t>
      </w:r>
      <w:r>
        <w:rPr>
          <w:rFonts w:ascii="Times New Roman" w:hAnsi="Times New Roman"/>
          <w:bCs/>
          <w:sz w:val="24"/>
          <w:szCs w:val="24"/>
        </w:rPr>
        <w:t>转化成气体、水、沉淀除去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。在教学过程中先是通过教师讲解除杂试剂的选择方法，使学生掌握除杂试剂选择的要点，紧接着通过学生的练习，及时的反馈学生掌握的情况。通过三位同学的表现，这节课学生掌握熟练，对除杂试剂选择的方法已经运用自如，达到了预期的教学目标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AC348"/>
    <w:multiLevelType w:val="singleLevel"/>
    <w:tmpl w:val="DCAAC3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07F4DB"/>
    <w:multiLevelType w:val="singleLevel"/>
    <w:tmpl w:val="7E07F4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E03E7"/>
    <w:rsid w:val="26B30016"/>
    <w:rsid w:val="2C1074F6"/>
    <w:rsid w:val="30800F16"/>
    <w:rsid w:val="367C08C8"/>
    <w:rsid w:val="36933E56"/>
    <w:rsid w:val="3F38185F"/>
    <w:rsid w:val="43EC6CE2"/>
    <w:rsid w:val="518579AA"/>
    <w:rsid w:val="565D022C"/>
    <w:rsid w:val="5AA96EB9"/>
    <w:rsid w:val="635A1ECB"/>
    <w:rsid w:val="656E15DA"/>
    <w:rsid w:val="69B14175"/>
    <w:rsid w:val="765217C5"/>
    <w:rsid w:val="7AEF3761"/>
    <w:rsid w:val="7C726376"/>
    <w:rsid w:val="7DF23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textAlignment w:val="center"/>
    </w:pPr>
    <w:rPr>
      <w:rFonts w:ascii="宋体" w:hAnsi="宋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